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32"/>
          <w:szCs w:val="32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32"/>
          <w:szCs w:val="32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LXI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contextualSpacing/>
        <w:jc w:val="both"/>
        <w:rPr>
          <w:sz w:val="28"/>
          <w:szCs w:val="28"/>
        </w:rPr>
      </w:pPr>
    </w:p>
    <w:p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6 февраля 2024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407</w:t>
      </w:r>
    </w:p>
    <w:p>
      <w:pPr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</w:tblGrid>
      <w:tr>
        <w:tc>
          <w:tcPr>
            <w:tcW w:w="6096" w:type="dxa"/>
          </w:tcPr>
          <w:p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Решение Совета депутатов городского округа Анадырь от 14 декабря 2023 года № 388 «Об утверждении Положения об </w:t>
            </w:r>
            <w:r>
              <w:rPr>
                <w:color w:val="000000"/>
                <w:sz w:val="26"/>
                <w:szCs w:val="26"/>
              </w:rPr>
              <w:t xml:space="preserve">оплате труда </w:t>
            </w:r>
            <w:r>
              <w:rPr>
                <w:rFonts w:eastAsiaTheme="minorHAnsi"/>
                <w:sz w:val="26"/>
                <w:szCs w:val="26"/>
              </w:rPr>
              <w:t>работников органов местного самоуправления городского округа Анадырь»</w:t>
            </w:r>
          </w:p>
        </w:tc>
      </w:tr>
    </w:tbl>
    <w:p>
      <w:pPr>
        <w:contextualSpacing/>
        <w:jc w:val="both"/>
        <w:rPr>
          <w:color w:val="000000" w:themeColor="text1"/>
          <w:sz w:val="26"/>
          <w:szCs w:val="26"/>
        </w:rPr>
      </w:pPr>
    </w:p>
    <w:p>
      <w:pPr>
        <w:contextualSpacing/>
        <w:jc w:val="both"/>
        <w:rPr>
          <w:color w:val="000000" w:themeColor="text1"/>
          <w:sz w:val="26"/>
          <w:szCs w:val="26"/>
        </w:rPr>
      </w:pPr>
    </w:p>
    <w:p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>
        <w:rPr>
          <w:rFonts w:eastAsiaTheme="minorHAnsi"/>
          <w:sz w:val="26"/>
          <w:szCs w:val="26"/>
        </w:rPr>
        <w:t xml:space="preserve"> целях уточнения и изменения отдельных положений Решения Совета депутатов городского округа Анадырь,</w:t>
      </w:r>
    </w:p>
    <w:p>
      <w:pPr>
        <w:ind w:firstLine="708"/>
        <w:jc w:val="both"/>
        <w:rPr>
          <w:sz w:val="26"/>
          <w:szCs w:val="26"/>
        </w:rPr>
      </w:pP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Анадырь</w:t>
      </w:r>
    </w:p>
    <w:p>
      <w:pPr>
        <w:jc w:val="both"/>
        <w:rPr>
          <w:b/>
          <w:sz w:val="26"/>
          <w:szCs w:val="26"/>
        </w:rPr>
      </w:pP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>
      <w:pPr>
        <w:jc w:val="both"/>
        <w:rPr>
          <w:b/>
          <w:sz w:val="26"/>
          <w:szCs w:val="26"/>
        </w:rPr>
      </w:pPr>
    </w:p>
    <w:p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1. Внести в Решение Совета депутатов городского округа Анадырь от 14 декабря 2023 года № 388 «Об утверждении Положения об </w:t>
      </w:r>
      <w:r>
        <w:rPr>
          <w:color w:val="000000"/>
          <w:sz w:val="26"/>
          <w:szCs w:val="26"/>
        </w:rPr>
        <w:t xml:space="preserve">оплате труда </w:t>
      </w:r>
      <w:r>
        <w:rPr>
          <w:rFonts w:eastAsiaTheme="minorHAnsi"/>
          <w:sz w:val="26"/>
          <w:szCs w:val="26"/>
        </w:rPr>
        <w:t>работников органов местного самоуправления городского округа Анадырь» (далее – Положение) следующие изменения и дополнения:</w:t>
      </w:r>
    </w:p>
    <w:p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 пункт 2.12 Положения изложить в следующей редакции:</w:t>
      </w:r>
    </w:p>
    <w:p>
      <w:pPr>
        <w:pStyle w:val="a3"/>
        <w:ind w:firstLine="708"/>
        <w:jc w:val="both"/>
        <w:rPr>
          <w:sz w:val="26"/>
          <w:szCs w:val="26"/>
        </w:rPr>
      </w:pPr>
      <w:r>
        <w:rPr>
          <w:rFonts w:eastAsiaTheme="minorHAnsi"/>
          <w:iCs/>
          <w:sz w:val="26"/>
          <w:szCs w:val="26"/>
        </w:rPr>
        <w:t>«2.12.</w:t>
      </w:r>
      <w:r>
        <w:rPr>
          <w:sz w:val="26"/>
          <w:szCs w:val="26"/>
        </w:rPr>
        <w:t xml:space="preserve"> Муниципальным служащим выплачиваются премии, в том числе за выполнение особо важных и сложных заданий.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Премирование может производиться: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в виде ежемесячной премии;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в виде премии по результатам работы за истекший квартал текущего финансового года;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в виде премии по результатам выполнения разовых поручений;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- в виде премии за выполнение</w:t>
      </w:r>
      <w:r>
        <w:rPr>
          <w:sz w:val="26"/>
          <w:szCs w:val="26"/>
        </w:rPr>
        <w:t xml:space="preserve"> особо важных и сложных заданий.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70C0"/>
          <w:sz w:val="26"/>
          <w:szCs w:val="26"/>
        </w:rPr>
      </w:pPr>
      <w:r>
        <w:rPr>
          <w:sz w:val="26"/>
          <w:szCs w:val="26"/>
        </w:rPr>
        <w:t xml:space="preserve"> Размер премии устанавливается либо в виде фиксированных процентных ставок от должностного оклада, либо в фиксированном размере, с учетом районного </w:t>
      </w:r>
      <w:r>
        <w:rPr>
          <w:sz w:val="26"/>
          <w:szCs w:val="26"/>
        </w:rPr>
        <w:lastRenderedPageBreak/>
        <w:t>коэффициента, а также процентной надбавки к заработной плате за работу в районах Крайнего Севера, установленных нормативными правовыми актами Российской Федерации.</w:t>
      </w:r>
      <w:r>
        <w:rPr>
          <w:rFonts w:eastAsiaTheme="minorHAnsi"/>
          <w:color w:val="0070C0"/>
          <w:sz w:val="26"/>
          <w:szCs w:val="26"/>
        </w:rPr>
        <w:t xml:space="preserve"> </w:t>
      </w:r>
    </w:p>
    <w:p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Критерии и порядок премирования муниципальных служащих определяются нормативными правовыми актами, принимаемыми органами местного самоуправления городского округа Анадырь, </w:t>
      </w:r>
      <w:r>
        <w:rPr>
          <w:rFonts w:eastAsiaTheme="minorHAnsi"/>
          <w:iCs/>
          <w:sz w:val="26"/>
          <w:szCs w:val="26"/>
        </w:rPr>
        <w:t xml:space="preserve">сотрудники которых являются муниципальными служащими. </w:t>
      </w:r>
    </w:p>
    <w:p>
      <w:pPr>
        <w:autoSpaceDE w:val="0"/>
        <w:autoSpaceDN w:val="0"/>
        <w:adjustRightInd w:val="0"/>
        <w:spacing w:before="200"/>
        <w:ind w:firstLine="70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Назначение премии может производиться по одному или нескольким основаниям.</w:t>
      </w:r>
    </w:p>
    <w:p>
      <w:pPr>
        <w:pStyle w:val="a3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Основанием для выплаты премии муниципальному служащему является муниципальный правовой акт руководителя соответствующего органа местного самоуправления,</w:t>
      </w:r>
      <w:r>
        <w:rPr>
          <w:rFonts w:eastAsiaTheme="minorHAnsi"/>
          <w:iCs/>
          <w:sz w:val="26"/>
          <w:szCs w:val="26"/>
        </w:rPr>
        <w:t xml:space="preserve"> руководителя соответствующего структурного подразделения Администрации городского округа Анадырь, являющегося юридическим лицом, сотрудник которого является муниципальным служащим</w:t>
      </w:r>
      <w:r>
        <w:rPr>
          <w:color w:val="000000"/>
          <w:sz w:val="26"/>
          <w:szCs w:val="26"/>
        </w:rPr>
        <w:t>.</w:t>
      </w:r>
      <w:r>
        <w:rPr>
          <w:rFonts w:eastAsiaTheme="minorHAnsi"/>
          <w:iCs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Основанием для выплаты премии </w:t>
      </w:r>
      <w:r>
        <w:rPr>
          <w:rFonts w:eastAsiaTheme="minorHAnsi"/>
          <w:iCs/>
          <w:sz w:val="26"/>
          <w:szCs w:val="26"/>
        </w:rPr>
        <w:t xml:space="preserve">руководителям структурных подразделений Администрации городского округа Анадырь, включая </w:t>
      </w:r>
      <w:r>
        <w:rPr>
          <w:sz w:val="26"/>
          <w:szCs w:val="26"/>
        </w:rPr>
        <w:t>структурные подразделения, являющиеся юридическими лицами,</w:t>
      </w:r>
      <w:r>
        <w:rPr>
          <w:rFonts w:eastAsiaTheme="minorHAnsi"/>
          <w:iCs/>
          <w:sz w:val="26"/>
          <w:szCs w:val="26"/>
        </w:rPr>
        <w:t xml:space="preserve"> является правовой акт Главы Администрации городского округа Анадырь.</w:t>
      </w:r>
    </w:p>
    <w:p>
      <w:pPr>
        <w:pStyle w:val="a3"/>
        <w:ind w:firstLine="708"/>
        <w:jc w:val="both"/>
        <w:rPr>
          <w:rFonts w:eastAsiaTheme="minorHAnsi"/>
          <w:iCs/>
          <w:sz w:val="26"/>
          <w:szCs w:val="26"/>
        </w:rPr>
      </w:pPr>
      <w:r>
        <w:rPr>
          <w:rFonts w:eastAsiaTheme="minorHAnsi"/>
          <w:iCs/>
          <w:sz w:val="26"/>
          <w:szCs w:val="26"/>
        </w:rPr>
        <w:t>Премия выплачивается, как правило, одновременно с денежным содержанием и включается в расчет среднего заработка с учетом особенностей порядка его исчисления, установленного законодательством Российской Федерации для данного вида выплат.</w:t>
      </w:r>
    </w:p>
    <w:p>
      <w:pPr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1.2 подпункт 2 пункта 4.1 Положения изложить в следующей редакции: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«2) для работников, замещающих должности, не отнесенные к должностям муниципальной службы:</w:t>
      </w: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5103"/>
      </w:tblGrid>
      <w:tr>
        <w:tc>
          <w:tcPr>
            <w:tcW w:w="704" w:type="dxa"/>
            <w:shd w:val="clear" w:color="auto" w:fill="auto"/>
          </w:tcPr>
          <w:p>
            <w:pPr>
              <w:tabs>
                <w:tab w:val="left" w:pos="171"/>
              </w:tabs>
              <w:autoSpaceDE w:val="0"/>
              <w:autoSpaceDN w:val="0"/>
              <w:adjustRightInd w:val="0"/>
              <w:ind w:firstLine="29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№ п\п</w:t>
            </w:r>
          </w:p>
        </w:tc>
        <w:tc>
          <w:tcPr>
            <w:tcW w:w="354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Размер норматива в год</w:t>
            </w:r>
          </w:p>
        </w:tc>
      </w:tr>
      <w:tr>
        <w:tc>
          <w:tcPr>
            <w:tcW w:w="70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firstLine="171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Выплаты по персональному коэффициенту</w:t>
            </w:r>
          </w:p>
        </w:tc>
        <w:tc>
          <w:tcPr>
            <w:tcW w:w="510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в максимальных размерах, установленных для каждой должности в месяц в соответствии с положением об оплате труда</w:t>
            </w:r>
          </w:p>
        </w:tc>
      </w:tr>
      <w:tr>
        <w:tc>
          <w:tcPr>
            <w:tcW w:w="70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ind w:firstLine="171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Фонд стимулирующих и компенсационных выплат</w:t>
            </w:r>
          </w:p>
        </w:tc>
        <w:tc>
          <w:tcPr>
            <w:tcW w:w="5103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 xml:space="preserve"> 20 окладов в год работников по профессиональным квалификационным группам, окладов работников, не включенных в профессиональные квалификационные группы, в год</w:t>
            </w:r>
          </w:p>
        </w:tc>
      </w:tr>
    </w:tbl>
    <w:p>
      <w:pPr>
        <w:autoSpaceDE w:val="0"/>
        <w:autoSpaceDN w:val="0"/>
        <w:adjustRightInd w:val="0"/>
        <w:spacing w:before="260"/>
        <w:ind w:firstLine="709"/>
        <w:contextualSpacing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».</w:t>
      </w:r>
    </w:p>
    <w:p>
      <w:pPr>
        <w:jc w:val="both"/>
        <w:rPr>
          <w:sz w:val="26"/>
          <w:szCs w:val="26"/>
        </w:rPr>
      </w:pP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с 1 марта 2024 года.</w:t>
      </w:r>
    </w:p>
    <w:p>
      <w:pPr>
        <w:ind w:firstLine="709"/>
        <w:rPr>
          <w:sz w:val="26"/>
          <w:szCs w:val="26"/>
        </w:rPr>
      </w:pPr>
    </w:p>
    <w:p>
      <w:pPr>
        <w:ind w:firstLine="709"/>
        <w:rPr>
          <w:sz w:val="26"/>
          <w:szCs w:val="2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городского округа</w:t>
            </w:r>
          </w:p>
          <w:p>
            <w:pPr>
              <w:rPr>
                <w:b/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sz w:val="26"/>
                <w:szCs w:val="26"/>
              </w:rPr>
            </w:pPr>
          </w:p>
          <w:p>
            <w:pPr>
              <w:jc w:val="righ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sz w:val="26"/>
          <w:szCs w:val="26"/>
        </w:rPr>
      </w:pPr>
    </w:p>
    <w:p>
      <w:pPr>
        <w:tabs>
          <w:tab w:val="left" w:pos="7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г. Анадырь</w:t>
      </w:r>
    </w:p>
    <w:p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6 февраля 2024 года</w:t>
      </w:r>
    </w:p>
    <w:p>
      <w:pPr>
        <w:rPr>
          <w:sz w:val="28"/>
          <w:szCs w:val="28"/>
        </w:rPr>
      </w:pPr>
      <w:r>
        <w:rPr>
          <w:bCs/>
          <w:sz w:val="26"/>
          <w:szCs w:val="26"/>
        </w:rPr>
        <w:t>№ 407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7BEE3-EB03-477D-9138-4E5ED28EB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Arial" w:hAnsi="Arial"/>
      <w:b/>
      <w:bCs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Arial" w:hAnsi="Arial"/>
      <w:b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Arial" w:hAnsi="Arial"/>
      <w:b/>
      <w:b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5</cp:revision>
  <cp:lastPrinted>2024-01-25T06:29:00Z</cp:lastPrinted>
  <dcterms:created xsi:type="dcterms:W3CDTF">2024-01-29T23:54:00Z</dcterms:created>
  <dcterms:modified xsi:type="dcterms:W3CDTF">2024-02-06T21:15:00Z</dcterms:modified>
</cp:coreProperties>
</file>